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Rosa Almeida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Has lived in Lisbon, London and  New York.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PROFESSIONAL TRAINING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Foundations of Perfumery for Experimental Application; Genealogy of Scent Series, The Institute for Art and Olfaction Los Angeles, Online, 2021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Perfume 101, 202, 303 Course, The Institute for Art and Olfaction Los Angeles, Online, 2025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EDUCATION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Master in Fine Arts, Sculpture, Slade School of Fine Arts, University College of London, 1997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Degree in History of Art, Universidade Nova Lisboa, 1990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Drawing Foundation Course, Arco School of Art, Lisboa, 1988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Drawing and History of Art Foundation Course, SNBA, Lisboa, 1986 and 1987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RECENT SELECTED EXHIBITIONS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2023, Drawing As Thought, Biblioteca Universidade de Aveiro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2022, Cura di Se e Cura Dall’Altro Mail Art Project, Fondazione Pistoletto, Biella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2020, Water Event in Yoko Ono’s O Jardim da Aprendizagem da Liberdade, Serralves Museum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2018, Night Blooms, The Olfactory Biennale, London Biennale, organized by David Medalla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2015, Twenty:20, Cornerhouse Arts Centre, Manchester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2009, Paper In The Wind, Thomas Jaeckel Gallery, New York, Curated by David Gibson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COLLECTIONS SELECTION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Museu Serralves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Fundação Edp Maat Museu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Museu Arte Contemporanea de Elvas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Museo de Arte Contemporáneo Unión Fenosa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Centro Cultural Andratx Art Contemporani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John Weber Gallery Archives Smithsonian Institution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Art Omi Foundation New York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GRANTS SELECTION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2000 and 1996, IAC Instituto Arte Contemporânea, Lisbon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1998, Pollock-Krasner Foundation, New York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1997 and 1992, Flad Luso American Foundation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color w:val="38761d"/>
        </w:rPr>
      </w:pPr>
      <w:r w:rsidDel="00000000" w:rsidR="00000000" w:rsidRPr="00000000">
        <w:rPr>
          <w:color w:val="38761d"/>
          <w:rtl w:val="0"/>
        </w:rPr>
        <w:t xml:space="preserve">1996, 1992 and 1990, Calouste Gulbenkian Foundation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